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4B44" w:rsidRPr="00B04777" w:rsidRDefault="00A14B44" w:rsidP="00DF185D">
      <w:pPr>
        <w:autoSpaceDE w:val="0"/>
        <w:autoSpaceDN w:val="0"/>
        <w:adjustRightInd w:val="0"/>
        <w:spacing w:after="0" w:line="240" w:lineRule="auto"/>
        <w:jc w:val="both"/>
        <w:rPr>
          <w:rFonts w:asciiTheme="minorHAnsi" w:cstheme="minorHAnsi"/>
          <w:sz w:val="20"/>
          <w:szCs w:val="20"/>
        </w:rPr>
      </w:pPr>
      <w:bookmarkStart w:id="0" w:name="_GoBack"/>
      <w:bookmarkEnd w:id="0"/>
    </w:p>
    <w:p w:rsidR="00A14B44" w:rsidRPr="00B04777" w:rsidRDefault="00DF185D" w:rsidP="00DF185D">
      <w:pPr>
        <w:autoSpaceDE w:val="0"/>
        <w:autoSpaceDN w:val="0"/>
        <w:adjustRightInd w:val="0"/>
        <w:spacing w:after="0" w:line="240" w:lineRule="auto"/>
        <w:jc w:val="both"/>
        <w:rPr>
          <w:rFonts w:asciiTheme="minorHAnsi" w:cstheme="minorHAnsi"/>
          <w:b/>
          <w:bCs/>
          <w:sz w:val="44"/>
          <w:szCs w:val="44"/>
          <w:lang w:eastAsia="de-DE"/>
        </w:rPr>
      </w:pPr>
      <w:r w:rsidRPr="00B04777">
        <w:rPr>
          <w:rFonts w:asciiTheme="minorHAnsi" w:cstheme="minorHAnsi"/>
          <w:b/>
          <w:sz w:val="44"/>
          <w:szCs w:val="44"/>
          <w:lang w:bidi="cs-CZ"/>
        </w:rPr>
        <w:t>INFORMAČNÍ PŘEHLED</w:t>
      </w:r>
    </w:p>
    <w:p w:rsidR="00DF185D" w:rsidRPr="00B04777" w:rsidRDefault="00DF185D" w:rsidP="00DF185D">
      <w:pPr>
        <w:autoSpaceDE w:val="0"/>
        <w:autoSpaceDN w:val="0"/>
        <w:adjustRightInd w:val="0"/>
        <w:spacing w:after="0" w:line="240" w:lineRule="auto"/>
        <w:jc w:val="both"/>
        <w:rPr>
          <w:rFonts w:cstheme="minorHAnsi"/>
          <w:sz w:val="28"/>
          <w:szCs w:val="28"/>
          <w:lang w:eastAsia="de-DE"/>
        </w:rPr>
      </w:pPr>
      <w:r w:rsidRPr="00B04777">
        <w:rPr>
          <w:rFonts w:asciiTheme="minorHAnsi" w:cstheme="minorHAnsi"/>
          <w:sz w:val="28"/>
          <w:szCs w:val="28"/>
          <w:lang w:bidi="cs-CZ"/>
        </w:rPr>
        <w:t>DVA Kombinované pojištění stavebních výkonů, montáže a zákonné odpovědnosti® Wording Typ H (s rozšířeným krytím pro plánování) Stav k</w:t>
      </w:r>
      <w:r w:rsidR="00E766DB" w:rsidRPr="00B04777">
        <w:rPr>
          <w:rFonts w:asciiTheme="minorHAnsi" w:cstheme="minorHAnsi"/>
          <w:sz w:val="28"/>
          <w:szCs w:val="28"/>
          <w:lang w:bidi="cs-CZ"/>
        </w:rPr>
        <w:t> </w:t>
      </w:r>
      <w:r w:rsidRPr="00B04777">
        <w:rPr>
          <w:rFonts w:asciiTheme="minorHAnsi" w:cstheme="minorHAnsi"/>
          <w:sz w:val="28"/>
          <w:szCs w:val="28"/>
          <w:lang w:bidi="cs-CZ"/>
        </w:rPr>
        <w:t>11.</w:t>
      </w:r>
      <w:r w:rsidR="00E766DB" w:rsidRPr="00B04777">
        <w:rPr>
          <w:rFonts w:asciiTheme="minorHAnsi" w:cstheme="minorHAnsi"/>
          <w:sz w:val="28"/>
          <w:szCs w:val="28"/>
          <w:lang w:bidi="cs-CZ"/>
        </w:rPr>
        <w:t> </w:t>
      </w:r>
      <w:r w:rsidRPr="00B04777">
        <w:rPr>
          <w:rFonts w:asciiTheme="minorHAnsi" w:cstheme="minorHAnsi"/>
          <w:sz w:val="28"/>
          <w:szCs w:val="28"/>
          <w:lang w:bidi="cs-CZ"/>
        </w:rPr>
        <w:t>11.</w:t>
      </w:r>
      <w:r w:rsidR="00E766DB" w:rsidRPr="00B04777">
        <w:rPr>
          <w:rFonts w:asciiTheme="minorHAnsi" w:cstheme="minorHAnsi"/>
          <w:sz w:val="28"/>
          <w:szCs w:val="28"/>
          <w:lang w:bidi="cs-CZ"/>
        </w:rPr>
        <w:t> </w:t>
      </w:r>
      <w:r w:rsidRPr="00B04777">
        <w:rPr>
          <w:rFonts w:asciiTheme="minorHAnsi" w:cstheme="minorHAnsi"/>
          <w:sz w:val="28"/>
          <w:szCs w:val="28"/>
          <w:lang w:bidi="cs-CZ"/>
        </w:rPr>
        <w:t>2014</w:t>
      </w:r>
    </w:p>
    <w:p w:rsidR="00A14B44" w:rsidRPr="00B04777" w:rsidRDefault="00DF185D" w:rsidP="00DF185D">
      <w:pPr>
        <w:autoSpaceDE w:val="0"/>
        <w:autoSpaceDN w:val="0"/>
        <w:adjustRightInd w:val="0"/>
        <w:spacing w:after="0" w:line="240" w:lineRule="auto"/>
        <w:jc w:val="both"/>
        <w:rPr>
          <w:rFonts w:asciiTheme="minorHAnsi" w:cstheme="minorHAnsi"/>
          <w:sz w:val="28"/>
          <w:szCs w:val="28"/>
          <w:lang w:eastAsia="de-DE"/>
        </w:rPr>
      </w:pPr>
      <w:r w:rsidRPr="00B04777">
        <w:rPr>
          <w:rFonts w:asciiTheme="minorHAnsi" w:cstheme="minorHAnsi"/>
          <w:sz w:val="28"/>
          <w:szCs w:val="28"/>
          <w:lang w:bidi="cs-CZ"/>
        </w:rPr>
        <w:t xml:space="preserve">DVA-Projekt č. </w:t>
      </w:r>
      <w:r w:rsidR="00DE3256">
        <w:rPr>
          <w:rFonts w:asciiTheme="minorHAnsi" w:cstheme="minorHAnsi"/>
          <w:sz w:val="28"/>
          <w:szCs w:val="28"/>
          <w:lang w:bidi="cs-CZ"/>
        </w:rPr>
        <w:t>2445</w:t>
      </w:r>
      <w:r w:rsidR="00DE3256" w:rsidRPr="00B04777">
        <w:rPr>
          <w:rFonts w:asciiTheme="minorHAnsi" w:cstheme="minorHAnsi"/>
          <w:sz w:val="28"/>
          <w:szCs w:val="28"/>
          <w:lang w:bidi="cs-CZ"/>
        </w:rPr>
        <w:t xml:space="preserve"> </w:t>
      </w:r>
      <w:r w:rsidRPr="00B04777">
        <w:rPr>
          <w:rFonts w:asciiTheme="minorHAnsi" w:cstheme="minorHAnsi"/>
          <w:sz w:val="28"/>
          <w:szCs w:val="28"/>
          <w:lang w:bidi="cs-CZ"/>
        </w:rPr>
        <w:t xml:space="preserve">– </w:t>
      </w:r>
      <w:r w:rsidR="00DE3256">
        <w:rPr>
          <w:rFonts w:asciiTheme="minorHAnsi" w:cstheme="minorHAnsi"/>
          <w:sz w:val="28"/>
          <w:szCs w:val="28"/>
          <w:lang w:bidi="cs-CZ"/>
        </w:rPr>
        <w:t>Nové železniční spojení Drážďany - Praha</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numPr>
          <w:ilvl w:val="0"/>
          <w:numId w:val="2"/>
        </w:numPr>
        <w:autoSpaceDE w:val="0"/>
        <w:autoSpaceDN w:val="0"/>
        <w:adjustRightInd w:val="0"/>
        <w:spacing w:after="0" w:line="240" w:lineRule="auto"/>
        <w:ind w:left="284" w:hanging="284"/>
        <w:jc w:val="both"/>
        <w:rPr>
          <w:rFonts w:asciiTheme="minorHAnsi" w:cstheme="minorHAnsi"/>
          <w:b/>
          <w:bCs/>
          <w:sz w:val="16"/>
          <w:szCs w:val="16"/>
          <w:lang w:eastAsia="de-DE"/>
        </w:rPr>
      </w:pPr>
      <w:r w:rsidRPr="00B04777">
        <w:rPr>
          <w:rFonts w:asciiTheme="minorHAnsi" w:cstheme="minorHAnsi"/>
          <w:b/>
          <w:sz w:val="16"/>
          <w:szCs w:val="16"/>
          <w:lang w:bidi="cs-CZ"/>
        </w:rPr>
        <w:t>Obecná ustanovení a pojistné</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C45E64" w:rsidRDefault="00DF185D" w:rsidP="00DF185D">
      <w:pPr>
        <w:autoSpaceDE w:val="0"/>
        <w:autoSpaceDN w:val="0"/>
        <w:adjustRightInd w:val="0"/>
        <w:spacing w:after="0" w:line="240" w:lineRule="auto"/>
        <w:jc w:val="both"/>
        <w:rPr>
          <w:rFonts w:asciiTheme="minorHAnsi" w:cstheme="minorHAnsi"/>
          <w:sz w:val="16"/>
          <w:szCs w:val="16"/>
          <w:lang w:bidi="cs-CZ"/>
        </w:rPr>
      </w:pPr>
      <w:r w:rsidRPr="00B04777">
        <w:rPr>
          <w:rFonts w:asciiTheme="minorHAnsi" w:cstheme="minorHAnsi"/>
          <w:sz w:val="16"/>
          <w:szCs w:val="16"/>
          <w:lang w:bidi="cs-CZ"/>
        </w:rPr>
        <w:t xml:space="preserve">Pro projekt </w:t>
      </w:r>
      <w:r w:rsidR="00FF092A">
        <w:rPr>
          <w:rFonts w:asciiTheme="minorHAnsi" w:cstheme="minorHAnsi"/>
          <w:sz w:val="16"/>
          <w:szCs w:val="16"/>
          <w:lang w:bidi="cs-CZ"/>
        </w:rPr>
        <w:t xml:space="preserve">Nové železniční spojení Drážďany Praha, přeshraniční úsek Drážďany – Ústí nad Labem, </w:t>
      </w:r>
      <w:r w:rsidRPr="00B04777">
        <w:rPr>
          <w:rFonts w:asciiTheme="minorHAnsi" w:cstheme="minorHAnsi"/>
          <w:sz w:val="16"/>
          <w:szCs w:val="16"/>
          <w:lang w:bidi="cs-CZ"/>
        </w:rPr>
        <w:t>má zadavatel (pojistník) uzavřeno kombinované pojištění stavebních výkonů, montáže a zákonné odpovědnosti</w:t>
      </w:r>
      <w:r w:rsidR="00FF092A">
        <w:rPr>
          <w:rFonts w:asciiTheme="minorHAnsi" w:cstheme="minorHAnsi"/>
          <w:sz w:val="16"/>
          <w:szCs w:val="16"/>
          <w:lang w:bidi="cs-CZ"/>
        </w:rPr>
        <w:t xml:space="preserve"> (tzv. předběžné krytí</w:t>
      </w:r>
      <w:r w:rsidR="00B2581E">
        <w:rPr>
          <w:rFonts w:asciiTheme="minorHAnsi" w:cstheme="minorHAnsi"/>
          <w:sz w:val="16"/>
          <w:szCs w:val="16"/>
          <w:lang w:bidi="cs-CZ"/>
        </w:rPr>
        <w:t>) pro fázi projektování až do naplnění výkonové fáze 2 (LPh2) podle HOAI (poté dle rozhodnutí o dalším pokračování projektu)</w:t>
      </w:r>
      <w:r w:rsidRPr="00B04777">
        <w:rPr>
          <w:rFonts w:asciiTheme="minorHAnsi" w:cstheme="minorHAnsi"/>
          <w:sz w:val="16"/>
          <w:szCs w:val="16"/>
          <w:lang w:bidi="cs-CZ"/>
        </w:rPr>
        <w:t xml:space="preserve">. Rozhodující je znění pojistné smlouvy, vztahující se k projektu. Pokud by se rozsah pojištění významně změnil, bude na to odpovídajícím způsobem upozorněno. </w:t>
      </w:r>
      <w:r w:rsidR="00831216">
        <w:rPr>
          <w:rFonts w:asciiTheme="minorHAnsi" w:cstheme="minorHAnsi"/>
          <w:sz w:val="16"/>
          <w:szCs w:val="16"/>
          <w:lang w:bidi="cs-CZ"/>
        </w:rPr>
        <w:t xml:space="preserve">To platí zejména, pokud by mělo dojít k nahrazení předběžného krytí pojištěného podle tohoto informačního přehledu následně uzavřenou zvláštní pojistnou smlouvou (případně hlavní pojistnou smlouvou uzavřenou na začátku stavební fáze). </w:t>
      </w:r>
      <w:r w:rsidRPr="00B04777">
        <w:rPr>
          <w:rFonts w:asciiTheme="minorHAnsi" w:cstheme="minorHAnsi"/>
          <w:sz w:val="16"/>
          <w:szCs w:val="16"/>
          <w:lang w:bidi="cs-CZ"/>
        </w:rPr>
        <w:t xml:space="preserve">Pojištěny jsou zájmy </w:t>
      </w:r>
      <w:r w:rsidRPr="00B04777">
        <w:rPr>
          <w:rFonts w:asciiTheme="minorHAnsi" w:cstheme="minorHAnsi"/>
          <w:b/>
          <w:sz w:val="16"/>
          <w:szCs w:val="16"/>
          <w:lang w:bidi="cs-CZ"/>
        </w:rPr>
        <w:t>zadavatele (pojistníka</w:t>
      </w:r>
      <w:r w:rsidRPr="00B04777">
        <w:rPr>
          <w:rFonts w:asciiTheme="minorHAnsi" w:cstheme="minorHAnsi"/>
          <w:sz w:val="16"/>
          <w:szCs w:val="16"/>
          <w:lang w:bidi="cs-CZ"/>
        </w:rPr>
        <w:t xml:space="preserve">) a všech účastníků, podílejících se </w:t>
      </w:r>
      <w:r w:rsidRPr="00B04777">
        <w:rPr>
          <w:rFonts w:asciiTheme="minorHAnsi" w:cstheme="minorHAnsi"/>
          <w:b/>
          <w:sz w:val="16"/>
          <w:szCs w:val="16"/>
          <w:lang w:bidi="cs-CZ"/>
        </w:rPr>
        <w:t>na projektování a provádění stav</w:t>
      </w:r>
      <w:r w:rsidRPr="00B04777">
        <w:rPr>
          <w:rFonts w:asciiTheme="minorHAnsi" w:cstheme="minorHAnsi"/>
          <w:sz w:val="16"/>
          <w:szCs w:val="16"/>
          <w:lang w:bidi="cs-CZ"/>
        </w:rPr>
        <w:t xml:space="preserve">by (soupojistníků), pokud se podílejí na plnění smluv uzavřených se zadavateli. To platí také pro udělené zakázky a příčiny škod, jestliže škoda vejde ve známost až po začátku pojištění. Regres pojistitele vůči pojistníkovi a soupojistníkům je vyloučen, stejně tak i možnost pojistitele smlouvu ve škodním případě vypovědět. Škody v důsledku teroristických činů jsou bez ohledu na spolupůsobící příčiny vyloučeny. Pojistné včetně aktuálně platné daně z pojištění platí zadavatel. Zadavatel upozorňuje na to, že pojistné částky za další pojištění se stejným krytím (dvojité pojištění) nebudou uhrazeny. </w:t>
      </w:r>
      <w:r w:rsidRPr="00B04777">
        <w:rPr>
          <w:rFonts w:asciiTheme="minorHAnsi" w:cstheme="minorHAnsi"/>
          <w:b/>
          <w:sz w:val="16"/>
          <w:szCs w:val="16"/>
          <w:lang w:bidi="cs-CZ"/>
        </w:rPr>
        <w:t xml:space="preserve">Uchazeč / zadavatel zajišťuje, že pojistné částky za takováto pojištění </w:t>
      </w:r>
      <w:r w:rsidRPr="00B04777">
        <w:rPr>
          <w:rFonts w:asciiTheme="minorHAnsi" w:cstheme="minorHAnsi"/>
          <w:b/>
          <w:sz w:val="16"/>
          <w:szCs w:val="16"/>
          <w:u w:val="single"/>
          <w:lang w:bidi="cs-CZ"/>
        </w:rPr>
        <w:t>nejsou</w:t>
      </w:r>
      <w:r w:rsidRPr="00B04777">
        <w:rPr>
          <w:rFonts w:asciiTheme="minorHAnsi" w:cstheme="minorHAnsi"/>
          <w:b/>
          <w:sz w:val="16"/>
          <w:szCs w:val="16"/>
          <w:lang w:bidi="cs-CZ"/>
        </w:rPr>
        <w:t xml:space="preserve"> do jeho nabídky zakalkulovány.</w:t>
      </w:r>
    </w:p>
    <w:p w:rsidR="00DF185D"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p>
    <w:tbl>
      <w:tblPr>
        <w:tblW w:w="5000" w:type="pct"/>
        <w:tblCellMar>
          <w:left w:w="40" w:type="dxa"/>
          <w:right w:w="40" w:type="dxa"/>
        </w:tblCellMar>
        <w:tblLook w:val="0000" w:firstRow="0" w:lastRow="0" w:firstColumn="0" w:lastColumn="0" w:noHBand="0" w:noVBand="0"/>
      </w:tblPr>
      <w:tblGrid>
        <w:gridCol w:w="4554"/>
        <w:gridCol w:w="4555"/>
      </w:tblGrid>
      <w:tr w:rsidR="00A14B44" w:rsidRPr="00B04777" w:rsidTr="00DF185D">
        <w:trPr>
          <w:trHeight w:val="23"/>
        </w:trPr>
        <w:tc>
          <w:tcPr>
            <w:tcW w:w="2500" w:type="pct"/>
            <w:tcBorders>
              <w:top w:val="single" w:sz="6" w:space="0" w:color="auto"/>
              <w:left w:val="single" w:sz="6" w:space="0" w:color="auto"/>
              <w:bottom w:val="single" w:sz="6" w:space="0" w:color="auto"/>
              <w:right w:val="single" w:sz="6" w:space="0" w:color="auto"/>
            </w:tcBorders>
          </w:tcPr>
          <w:p w:rsidR="00A14B44" w:rsidRPr="00B04777" w:rsidRDefault="00DF185D" w:rsidP="00DF185D">
            <w:pPr>
              <w:numPr>
                <w:ilvl w:val="0"/>
                <w:numId w:val="2"/>
              </w:numPr>
              <w:autoSpaceDE w:val="0"/>
              <w:autoSpaceDN w:val="0"/>
              <w:adjustRightInd w:val="0"/>
              <w:spacing w:after="0" w:line="240" w:lineRule="auto"/>
              <w:ind w:left="284" w:hanging="284"/>
              <w:jc w:val="both"/>
              <w:rPr>
                <w:rFonts w:asciiTheme="minorHAnsi" w:cstheme="minorHAnsi"/>
                <w:b/>
                <w:bCs/>
                <w:sz w:val="16"/>
                <w:szCs w:val="16"/>
                <w:lang w:eastAsia="de-DE"/>
              </w:rPr>
            </w:pPr>
            <w:r w:rsidRPr="00B04777">
              <w:rPr>
                <w:rFonts w:asciiTheme="minorHAnsi" w:cstheme="minorHAnsi"/>
                <w:b/>
                <w:sz w:val="16"/>
                <w:szCs w:val="16"/>
                <w:lang w:bidi="cs-CZ"/>
              </w:rPr>
              <w:t>Pojištění stavebních výkonů a montáže</w:t>
            </w:r>
          </w:p>
        </w:tc>
        <w:tc>
          <w:tcPr>
            <w:tcW w:w="2500" w:type="pct"/>
            <w:tcBorders>
              <w:top w:val="single" w:sz="6" w:space="0" w:color="auto"/>
              <w:left w:val="single" w:sz="6" w:space="0" w:color="auto"/>
              <w:bottom w:val="single" w:sz="6" w:space="0" w:color="auto"/>
              <w:right w:val="single" w:sz="6" w:space="0" w:color="auto"/>
            </w:tcBorders>
          </w:tcPr>
          <w:p w:rsidR="00A14B44" w:rsidRPr="00B04777" w:rsidRDefault="00DF185D" w:rsidP="00DF185D">
            <w:pPr>
              <w:numPr>
                <w:ilvl w:val="0"/>
                <w:numId w:val="2"/>
              </w:numPr>
              <w:autoSpaceDE w:val="0"/>
              <w:autoSpaceDN w:val="0"/>
              <w:adjustRightInd w:val="0"/>
              <w:spacing w:after="0" w:line="240" w:lineRule="auto"/>
              <w:ind w:left="284" w:hanging="284"/>
              <w:jc w:val="both"/>
              <w:rPr>
                <w:rFonts w:asciiTheme="minorHAnsi" w:cstheme="minorHAnsi"/>
                <w:b/>
                <w:bCs/>
                <w:sz w:val="16"/>
                <w:szCs w:val="16"/>
                <w:lang w:eastAsia="de-DE"/>
              </w:rPr>
            </w:pPr>
            <w:r w:rsidRPr="00B04777">
              <w:rPr>
                <w:rFonts w:asciiTheme="minorHAnsi" w:cstheme="minorHAnsi"/>
                <w:b/>
                <w:sz w:val="16"/>
                <w:szCs w:val="16"/>
                <w:lang w:bidi="cs-CZ"/>
              </w:rPr>
              <w:t>Pojištění zákonné odpovědnosti pro investora a všechny účastníky podílející se na plánování a provedení stavby (soupojistníky)</w:t>
            </w:r>
          </w:p>
        </w:tc>
      </w:tr>
      <w:tr w:rsidR="00A14B44" w:rsidRPr="00B04777" w:rsidTr="00DF185D">
        <w:trPr>
          <w:trHeight w:val="23"/>
        </w:trPr>
        <w:tc>
          <w:tcPr>
            <w:tcW w:w="2500" w:type="pct"/>
            <w:tcBorders>
              <w:top w:val="single" w:sz="6" w:space="0" w:color="auto"/>
              <w:left w:val="single" w:sz="6" w:space="0" w:color="auto"/>
              <w:bottom w:val="single" w:sz="6" w:space="0" w:color="auto"/>
              <w:right w:val="single" w:sz="6" w:space="0" w:color="auto"/>
            </w:tcBorders>
          </w:tcPr>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Pojistná ochrana existuje pro ztráty, poškození nebo zničení stavebních výkonů, pojištěného pozemku, popř. pojištěného majetku, které neočekávaně vzniknou během doby trvání pojištění. Spolupojištěny jsou také škody způsobené požárem, zásahem blesku, výbuchem, jakož i škody způsobené seškvařením, ožehnutím a</w:t>
            </w:r>
            <w:r w:rsidR="00E766DB" w:rsidRPr="00B04777">
              <w:rPr>
                <w:rFonts w:asciiTheme="minorHAnsi" w:cstheme="minorHAnsi"/>
                <w:sz w:val="16"/>
                <w:szCs w:val="16"/>
                <w:lang w:bidi="cs-CZ"/>
              </w:rPr>
              <w:t> </w:t>
            </w:r>
            <w:r w:rsidRPr="00B04777">
              <w:rPr>
                <w:rFonts w:asciiTheme="minorHAnsi" w:cstheme="minorHAnsi"/>
                <w:sz w:val="16"/>
                <w:szCs w:val="16"/>
                <w:lang w:bidi="cs-CZ"/>
              </w:rPr>
              <w:t>doutnáním.</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b/>
                <w:sz w:val="16"/>
                <w:szCs w:val="16"/>
                <w:lang w:bidi="cs-CZ"/>
              </w:rPr>
              <w:t>Odpovědnost</w:t>
            </w:r>
            <w:r w:rsidRPr="00B04777">
              <w:rPr>
                <w:rFonts w:asciiTheme="minorHAnsi" w:cstheme="minorHAnsi"/>
                <w:sz w:val="16"/>
                <w:szCs w:val="16"/>
                <w:lang w:bidi="cs-CZ"/>
              </w:rPr>
              <w:t xml:space="preserve"> pojistitele nabývá účinnosti začátkem stavby a končí v</w:t>
            </w:r>
            <w:r w:rsidR="00E766DB" w:rsidRPr="00B04777">
              <w:rPr>
                <w:rFonts w:asciiTheme="minorHAnsi" w:cstheme="minorHAnsi"/>
                <w:sz w:val="16"/>
                <w:szCs w:val="16"/>
                <w:lang w:bidi="cs-CZ"/>
              </w:rPr>
              <w:t> </w:t>
            </w:r>
            <w:r w:rsidRPr="00B04777">
              <w:rPr>
                <w:rFonts w:asciiTheme="minorHAnsi" w:cstheme="minorHAnsi"/>
                <w:sz w:val="16"/>
                <w:szCs w:val="16"/>
                <w:lang w:bidi="cs-CZ"/>
              </w:rPr>
              <w:t>návaznosti na případné zkušební provozy datem vydání protokolu o souhlasu / přejímce celkového projektu do komerčního užívání ze strany příslušného stavebního úřadu nebo k tomu zmocněné instituce vůči investorovi. Jestliže se uvolnění týká dílčích úseků, končí odpovědnost za tyto příslušným datem vydání souhlasu. V</w:t>
            </w:r>
            <w:r w:rsidR="00E766DB" w:rsidRPr="00B04777">
              <w:rPr>
                <w:rFonts w:asciiTheme="minorHAnsi" w:cstheme="minorHAnsi"/>
                <w:sz w:val="16"/>
                <w:szCs w:val="16"/>
                <w:lang w:bidi="cs-CZ"/>
              </w:rPr>
              <w:t> </w:t>
            </w:r>
            <w:r w:rsidRPr="00B04777">
              <w:rPr>
                <w:rFonts w:asciiTheme="minorHAnsi" w:cstheme="minorHAnsi"/>
                <w:sz w:val="16"/>
                <w:szCs w:val="16"/>
                <w:lang w:bidi="cs-CZ"/>
              </w:rPr>
              <w:t>návaznosti na to pojistitel během doby dodatečného ručení, která činí 42 měsíců, poskytne odškodnění za nepředvídaně vzniklé škody (poškození nebo zničení) pojištěných stavebních výkonů, které vznikly při provádění záručních prací nebo nedodělků v rámci závazků ze stavební smlouvy nebo během pojištěné doby výstavby. U</w:t>
            </w:r>
            <w:r w:rsidR="00E766DB" w:rsidRPr="00B04777">
              <w:rPr>
                <w:rFonts w:asciiTheme="minorHAnsi" w:cstheme="minorHAnsi"/>
                <w:sz w:val="16"/>
                <w:szCs w:val="16"/>
                <w:lang w:bidi="cs-CZ"/>
              </w:rPr>
              <w:t> </w:t>
            </w:r>
            <w:r w:rsidRPr="00B04777">
              <w:rPr>
                <w:rFonts w:asciiTheme="minorHAnsi" w:cstheme="minorHAnsi"/>
                <w:sz w:val="16"/>
                <w:szCs w:val="16"/>
                <w:lang w:bidi="cs-CZ"/>
              </w:rPr>
              <w:t>nedodělků, které je ještě nutné dokončit nebo provést po vydání souhlasu / přejímce celkového projektu do komerčního užívání, popř. které je ještě nutné provést v rámci zaprotokolovaných vad, trvá i</w:t>
            </w:r>
            <w:r w:rsidR="00E766DB" w:rsidRPr="00B04777">
              <w:rPr>
                <w:rFonts w:asciiTheme="minorHAnsi" w:cstheme="minorHAnsi"/>
                <w:sz w:val="16"/>
                <w:szCs w:val="16"/>
                <w:lang w:bidi="cs-CZ"/>
              </w:rPr>
              <w:t> </w:t>
            </w:r>
            <w:r w:rsidRPr="00B04777">
              <w:rPr>
                <w:rFonts w:asciiTheme="minorHAnsi" w:cstheme="minorHAnsi"/>
                <w:sz w:val="16"/>
                <w:szCs w:val="16"/>
                <w:lang w:bidi="cs-CZ"/>
              </w:rPr>
              <w:t>nadále pojistná ochrana až do doby jejich definitivní přejímky. Pro tyto nedodělky začíná běžet 42měsíční doba dodatečného ručení přejímkou příslušného výkonu investorem.</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b/>
                <w:sz w:val="16"/>
                <w:szCs w:val="16"/>
                <w:lang w:bidi="cs-CZ"/>
              </w:rPr>
              <w:t>Předmětem</w:t>
            </w:r>
            <w:r w:rsidRPr="00B04777">
              <w:rPr>
                <w:rFonts w:asciiTheme="minorHAnsi" w:cstheme="minorHAnsi"/>
                <w:sz w:val="16"/>
                <w:szCs w:val="16"/>
                <w:lang w:bidi="cs-CZ"/>
              </w:rPr>
              <w:t xml:space="preserve"> pojištění jsou veškeré dodávky a výkony, dodané při příležitosti zřízení pojištěného projektu. Jedná se především o</w:t>
            </w:r>
            <w:r w:rsidR="00E766DB" w:rsidRPr="00B04777">
              <w:rPr>
                <w:rFonts w:asciiTheme="minorHAnsi" w:cstheme="minorHAnsi"/>
                <w:sz w:val="16"/>
                <w:szCs w:val="16"/>
                <w:lang w:bidi="cs-CZ"/>
              </w:rPr>
              <w:t> </w:t>
            </w:r>
            <w:r w:rsidRPr="00B04777">
              <w:rPr>
                <w:rFonts w:asciiTheme="minorHAnsi" w:cstheme="minorHAnsi"/>
                <w:sz w:val="16"/>
                <w:szCs w:val="16"/>
                <w:lang w:bidi="cs-CZ"/>
              </w:rPr>
              <w:t>veškeré – také provizorní – stavební a zemní práce, základy, stavby, montážní výkony, také demontáže a opětovné montáže, konstrukce, stroje, strojní, mechanická a elektrická zařízení, příslušenství, náhradních díly, jakož i materiál včetně všech stavebních hmot, pomocných konstrukcí, provozních a pomocných látek. Nepojištěny jsou zejména stavební stroje včetně dodatečných zařízení a</w:t>
            </w:r>
            <w:r w:rsidR="00E766DB" w:rsidRPr="00B04777">
              <w:rPr>
                <w:rFonts w:asciiTheme="minorHAnsi" w:cstheme="minorHAnsi"/>
                <w:sz w:val="16"/>
                <w:szCs w:val="16"/>
                <w:lang w:bidi="cs-CZ"/>
              </w:rPr>
              <w:t> </w:t>
            </w:r>
            <w:r w:rsidRPr="00B04777">
              <w:rPr>
                <w:rFonts w:asciiTheme="minorHAnsi" w:cstheme="minorHAnsi"/>
                <w:sz w:val="16"/>
                <w:szCs w:val="16"/>
                <w:lang w:bidi="cs-CZ"/>
              </w:rPr>
              <w:t>náhradních dílů, malé přístroje a nářadí, měřicí</w:t>
            </w:r>
          </w:p>
        </w:tc>
        <w:tc>
          <w:tcPr>
            <w:tcW w:w="2500" w:type="pct"/>
            <w:tcBorders>
              <w:top w:val="single" w:sz="6" w:space="0" w:color="auto"/>
              <w:left w:val="single" w:sz="6" w:space="0" w:color="auto"/>
              <w:bottom w:val="single" w:sz="6" w:space="0" w:color="auto"/>
              <w:right w:val="single" w:sz="6" w:space="0" w:color="auto"/>
            </w:tcBorders>
          </w:tcPr>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 xml:space="preserve">Pojistníkovi a soupojistníkům bude poskytnuta </w:t>
            </w:r>
            <w:r w:rsidRPr="00B04777">
              <w:rPr>
                <w:rFonts w:asciiTheme="minorHAnsi" w:cstheme="minorHAnsi"/>
                <w:b/>
                <w:sz w:val="16"/>
                <w:szCs w:val="16"/>
                <w:lang w:bidi="cs-CZ"/>
              </w:rPr>
              <w:t>pojistná ochrana</w:t>
            </w:r>
            <w:r w:rsidRPr="00B04777">
              <w:rPr>
                <w:rFonts w:asciiTheme="minorHAnsi" w:cstheme="minorHAnsi"/>
                <w:sz w:val="16"/>
                <w:szCs w:val="16"/>
                <w:lang w:bidi="cs-CZ"/>
              </w:rPr>
              <w:t xml:space="preserve"> pro případ, že kvůli škodní události, která nastane během účinnosti pojištění, která má za následek</w:t>
            </w:r>
          </w:p>
          <w:p w:rsidR="00DF185D" w:rsidRPr="00B04777" w:rsidRDefault="00DF185D" w:rsidP="00DF185D">
            <w:pPr>
              <w:autoSpaceDE w:val="0"/>
              <w:autoSpaceDN w:val="0"/>
              <w:adjustRightInd w:val="0"/>
              <w:spacing w:after="0" w:line="240" w:lineRule="auto"/>
              <w:jc w:val="both"/>
              <w:rPr>
                <w:rFonts w:ascii="Arial" w:hAnsi="Arial" w:cs="Arial"/>
                <w:sz w:val="16"/>
                <w:szCs w:val="16"/>
                <w:lang w:eastAsia="de-DE"/>
              </w:rPr>
            </w:pP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smrt, zranění nebo poškození zdraví člověka (škodu na zdraví osob),</w:t>
            </w: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poškození nebo zničení věcí (věcná škoda),</w:t>
            </w: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 xml:space="preserve">nebo majetkovou škodu, </w:t>
            </w:r>
            <w:r w:rsidRPr="00B04777">
              <w:rPr>
                <w:rFonts w:ascii="Calibri" w:eastAsia="Calibri" w:hAnsi="Calibri" w:cs="Calibri"/>
                <w:sz w:val="16"/>
                <w:szCs w:val="16"/>
                <w:lang w:bidi="cs-CZ"/>
              </w:rPr>
              <w:t>která</w:t>
            </w:r>
            <w:r w:rsidRPr="00B04777">
              <w:rPr>
                <w:rFonts w:asciiTheme="minorHAnsi" w:cstheme="minorHAnsi"/>
                <w:sz w:val="16"/>
                <w:szCs w:val="16"/>
                <w:lang w:bidi="cs-CZ"/>
              </w:rPr>
              <w:t xml:space="preserve"> nevznikla na základě škody na zdraví nebo věcné škody,</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za jejichž následky bude třetí osoba na základě zákonných ustanovení o zákonné odpovědnosti soukromoprávního obsahu uplatňovat nárok na náhradu škody, nebo že v rámci rozšířeného krytí plánování utrpí vlastní škodu. Toto zahrnuje také nároky ze zákonné odpovědnosti za škody způsobené vlivy okolního prostředí na půdu, vzduch nebo vodu (včetně vodstva), a veškeré z toho vzniklé škody na životním prostředí (avšak bez zařízení pojistníka / soupojistníků podle Přílohy 1 a 2 zákona o odpovědnosti za životní prostředí), jakož i veřejnoprávní nároky podle zákona o škodách na životním prostředí k sanaci škod na životním prostředí.</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Mimo jiné jsou vyloučeny nároky za škody způsobené elektrickými, magnetickými a / nebo elektromagnetickými</w:t>
            </w: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poli / vlnami (EMP).</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Za spolupojištěné se považují nároky za škody způsobené manipulací s azbestem / močovino-formaldehydem se sublimitem ve výši 1</w:t>
            </w:r>
            <w:r w:rsidR="00E766DB" w:rsidRPr="00B04777">
              <w:rPr>
                <w:rFonts w:asciiTheme="minorHAnsi" w:cstheme="minorHAnsi"/>
                <w:sz w:val="16"/>
                <w:szCs w:val="16"/>
                <w:lang w:bidi="cs-CZ"/>
              </w:rPr>
              <w:t> </w:t>
            </w:r>
            <w:r w:rsidRPr="00B04777">
              <w:rPr>
                <w:rFonts w:asciiTheme="minorHAnsi" w:cstheme="minorHAnsi"/>
                <w:sz w:val="16"/>
                <w:szCs w:val="16"/>
                <w:lang w:bidi="cs-CZ"/>
              </w:rPr>
              <w:t>000</w:t>
            </w:r>
            <w:r w:rsidR="00E766DB" w:rsidRPr="00B04777">
              <w:rPr>
                <w:rFonts w:asciiTheme="minorHAnsi" w:cstheme="minorHAnsi"/>
                <w:sz w:val="16"/>
                <w:szCs w:val="16"/>
                <w:lang w:bidi="cs-CZ"/>
              </w:rPr>
              <w:t> </w:t>
            </w:r>
            <w:r w:rsidRPr="00B04777">
              <w:rPr>
                <w:rFonts w:asciiTheme="minorHAnsi" w:cstheme="minorHAnsi"/>
                <w:sz w:val="16"/>
                <w:szCs w:val="16"/>
                <w:lang w:bidi="cs-CZ"/>
              </w:rPr>
              <w:t>000 EUR.</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Povinnost pojistitele plnit zahrnuje přezkoumání otázky odpovědnosti, úhradu oprávněných, popř. zamítnutí neoprávněných nároků.</w:t>
            </w:r>
          </w:p>
        </w:tc>
      </w:tr>
    </w:tbl>
    <w:p w:rsidR="00DF185D" w:rsidRPr="00B04777" w:rsidRDefault="00DF185D">
      <w:pPr>
        <w:sectPr w:rsidR="00DF185D" w:rsidRPr="00B04777">
          <w:headerReference w:type="default" r:id="rId8"/>
          <w:type w:val="continuous"/>
          <w:pgSz w:w="11909" w:h="16834"/>
          <w:pgMar w:top="1440" w:right="1440" w:bottom="1440" w:left="1440" w:header="708" w:footer="708" w:gutter="0"/>
          <w:cols w:space="708"/>
          <w:noEndnote/>
        </w:sectPr>
      </w:pPr>
    </w:p>
    <w:tbl>
      <w:tblPr>
        <w:tblW w:w="5000" w:type="pct"/>
        <w:tblCellMar>
          <w:left w:w="40" w:type="dxa"/>
          <w:right w:w="40" w:type="dxa"/>
        </w:tblCellMar>
        <w:tblLook w:val="0000" w:firstRow="0" w:lastRow="0" w:firstColumn="0" w:lastColumn="0" w:noHBand="0" w:noVBand="0"/>
      </w:tblPr>
      <w:tblGrid>
        <w:gridCol w:w="4554"/>
        <w:gridCol w:w="4555"/>
      </w:tblGrid>
      <w:tr w:rsidR="00A14B44" w:rsidRPr="00B04777" w:rsidTr="00DF185D">
        <w:trPr>
          <w:trHeight w:val="23"/>
        </w:trPr>
        <w:tc>
          <w:tcPr>
            <w:tcW w:w="2500" w:type="pct"/>
            <w:tcBorders>
              <w:top w:val="single" w:sz="6" w:space="0" w:color="auto"/>
              <w:left w:val="single" w:sz="6" w:space="0" w:color="auto"/>
              <w:bottom w:val="single" w:sz="6" w:space="0" w:color="auto"/>
              <w:right w:val="single" w:sz="6" w:space="0" w:color="auto"/>
            </w:tcBorders>
          </w:tcPr>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lastRenderedPageBreak/>
              <w:t>dílenská, zkušební, laboratorní a radiová zařízení, jakož i pro ochranu staveniště dočasně používaná signalizační a zabezpečovací zařízení, kanceláře na staveništi, staveništní maringotky, staveništní kůlny, dílny, sklady, laboratoře a vozíky na nářadí.</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b/>
                <w:sz w:val="16"/>
                <w:szCs w:val="16"/>
                <w:lang w:bidi="cs-CZ"/>
              </w:rPr>
              <w:t>Zkušební provozy</w:t>
            </w:r>
            <w:r w:rsidRPr="00B04777">
              <w:rPr>
                <w:rFonts w:asciiTheme="minorHAnsi" w:cstheme="minorHAnsi"/>
                <w:sz w:val="16"/>
                <w:szCs w:val="16"/>
                <w:lang w:bidi="cs-CZ"/>
              </w:rPr>
              <w:t xml:space="preserve"> jsou spolupojištěny. Za škody na věcech, které na těchto vznikly bezprostředně v důsledku trvalých vlivů provozu během zkoušení, nebude vyplacena náhrada.</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cstheme="minorHAnsi"/>
                <w:sz w:val="16"/>
                <w:szCs w:val="16"/>
                <w:lang w:eastAsia="de-DE"/>
              </w:rPr>
            </w:pPr>
            <w:r w:rsidRPr="00B04777">
              <w:rPr>
                <w:rFonts w:asciiTheme="minorHAnsi" w:cstheme="minorHAnsi"/>
                <w:b/>
                <w:sz w:val="16"/>
                <w:szCs w:val="16"/>
                <w:lang w:bidi="cs-CZ"/>
              </w:rPr>
              <w:t>Spolupojištění na první riziko</w:t>
            </w:r>
            <w:r w:rsidRPr="00B04777">
              <w:rPr>
                <w:rFonts w:asciiTheme="minorHAnsi" w:cstheme="minorHAnsi"/>
                <w:sz w:val="16"/>
                <w:szCs w:val="16"/>
                <w:lang w:bidi="cs-CZ"/>
              </w:rPr>
              <w:t xml:space="preserve"> se pro každý pojistný případ mimo jiné vztahuje na:</w:t>
            </w:r>
          </w:p>
          <w:p w:rsidR="00DF185D"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Stavební pozemek a zeminu s 2 000 000 EUR</w:t>
            </w: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Náklady na vyhledávání škod s 1 000 000 EUR</w:t>
            </w: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Náklady na dekontaminaci a likvidaci půdy v důsledku úředního nařízení s 1 000 000 EUR</w:t>
            </w: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Věci v oblasti nebezpečí s 500 000 EUR</w:t>
            </w: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Vyproštění vrtací sestavy (avšak bez razících štítů) s 250 000 EUR</w:t>
            </w: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Spisy, výkresy a plány s 250 000 EUR</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 xml:space="preserve">Ve škodním případě vyplatí pojistitel </w:t>
            </w:r>
            <w:r w:rsidRPr="00B04777">
              <w:rPr>
                <w:rFonts w:asciiTheme="minorHAnsi" w:cstheme="minorHAnsi"/>
                <w:b/>
                <w:sz w:val="16"/>
                <w:szCs w:val="16"/>
                <w:lang w:bidi="cs-CZ"/>
              </w:rPr>
              <w:t>odškodnění</w:t>
            </w:r>
            <w:r w:rsidRPr="00B04777">
              <w:rPr>
                <w:rFonts w:asciiTheme="minorHAnsi" w:cstheme="minorHAnsi"/>
                <w:sz w:val="16"/>
                <w:szCs w:val="16"/>
                <w:lang w:bidi="cs-CZ"/>
              </w:rPr>
              <w:t xml:space="preserve"> za náklady, které musí být vynaloženy na úklid místa škody a obnovení stavu, který je technicky rovnocenný stavu, jaký byl před vznikem škody. V případě úplného poškození pomocných staveb a pomocných stavebních materiálů bude uhrazena časová hodnota.</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 xml:space="preserve">Mezí odškodnění za škody v rámci pojištění stavebních výkonů / pojištění montáže jsou předběžné náklady projektu, podléhající povinnému pojištění. Pro škody způsobené přírodním nebezpečím, jakým je bouře, záplavy a zemětřesení, které musí být odškodněny, je výše odškodnění omezena na předběžnou pojistnou částku, nejvýše však 50 000 000 EUR na jeden škodní případ. Určitá škody, související s opatřeními při stavbě tunelů, podléhají maximálnímu odškodnění. </w:t>
            </w:r>
            <w:r w:rsidRPr="00B04777">
              <w:rPr>
                <w:rFonts w:asciiTheme="minorHAnsi" w:cstheme="minorHAnsi"/>
                <w:b/>
                <w:sz w:val="16"/>
                <w:szCs w:val="16"/>
                <w:lang w:bidi="cs-CZ"/>
              </w:rPr>
              <w:t xml:space="preserve">Spoluúčast </w:t>
            </w:r>
            <w:r w:rsidRPr="00B04777">
              <w:rPr>
                <w:rFonts w:asciiTheme="minorHAnsi" w:cstheme="minorHAnsi"/>
                <w:sz w:val="16"/>
                <w:szCs w:val="16"/>
                <w:lang w:bidi="cs-CZ"/>
              </w:rPr>
              <w:t xml:space="preserve">za každý pojistný případ z pojištění stavebních výkonů, činí </w:t>
            </w:r>
            <w:r w:rsidRPr="00B04777">
              <w:rPr>
                <w:rFonts w:asciiTheme="minorHAnsi" w:cstheme="minorHAnsi"/>
                <w:b/>
                <w:sz w:val="16"/>
                <w:szCs w:val="16"/>
                <w:lang w:bidi="cs-CZ"/>
              </w:rPr>
              <w:t>10 000 EUR</w:t>
            </w:r>
            <w:r w:rsidRPr="00B04777">
              <w:rPr>
                <w:rFonts w:asciiTheme="minorHAnsi" w:cstheme="minorHAnsi"/>
                <w:sz w:val="16"/>
                <w:szCs w:val="16"/>
                <w:lang w:bidi="cs-CZ"/>
              </w:rPr>
              <w:t xml:space="preserve"> a nese ji poškozený.</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cstheme="minorHAnsi"/>
                <w:b/>
                <w:bCs/>
                <w:sz w:val="16"/>
                <w:szCs w:val="16"/>
                <w:lang w:eastAsia="de-DE"/>
              </w:rPr>
            </w:pPr>
            <w:r w:rsidRPr="00B04777">
              <w:rPr>
                <w:rFonts w:asciiTheme="minorHAnsi" w:cstheme="minorHAnsi"/>
                <w:b/>
                <w:sz w:val="16"/>
                <w:szCs w:val="16"/>
                <w:lang w:bidi="cs-CZ"/>
              </w:rPr>
              <w:t>Je třeba dodržovat následující povinnosti:</w:t>
            </w:r>
          </w:p>
          <w:p w:rsidR="00DF185D"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 xml:space="preserve">V souvislosti s odvodňováním musí být připraven náhradní a nasazení schopný agregát, který je nezávislý na </w:t>
            </w:r>
            <w:r w:rsidRPr="00B04777">
              <w:rPr>
                <w:rFonts w:ascii="Calibri" w:eastAsia="Calibri" w:hAnsi="Calibri" w:cs="Calibri"/>
                <w:sz w:val="16"/>
                <w:szCs w:val="16"/>
                <w:lang w:bidi="cs-CZ"/>
              </w:rPr>
              <w:t>vedení proudu</w:t>
            </w:r>
            <w:r w:rsidRPr="00B04777">
              <w:rPr>
                <w:rFonts w:asciiTheme="minorHAnsi" w:cstheme="minorHAnsi"/>
                <w:sz w:val="16"/>
                <w:szCs w:val="16"/>
                <w:lang w:bidi="cs-CZ"/>
              </w:rPr>
              <w:t xml:space="preserve"> / zdroji energie soustrojí.</w:t>
            </w: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sz w:val="16"/>
                <w:szCs w:val="16"/>
                <w:lang w:eastAsia="de-DE"/>
              </w:rPr>
            </w:pPr>
            <w:r w:rsidRPr="00B04777">
              <w:rPr>
                <w:rFonts w:asciiTheme="minorHAnsi" w:cstheme="minorHAnsi"/>
                <w:sz w:val="16"/>
                <w:szCs w:val="16"/>
                <w:lang w:bidi="cs-CZ"/>
              </w:rPr>
              <w:t>Ztráty způsobené krádeží, které jsou pojištěné, musí být neprodleně nahlášeny příslušnému policejnímu orgánu.</w:t>
            </w:r>
          </w:p>
        </w:tc>
        <w:tc>
          <w:tcPr>
            <w:tcW w:w="2500" w:type="pct"/>
            <w:tcBorders>
              <w:top w:val="single" w:sz="6" w:space="0" w:color="auto"/>
              <w:left w:val="single" w:sz="6" w:space="0" w:color="auto"/>
              <w:bottom w:val="single" w:sz="6" w:space="0" w:color="auto"/>
              <w:right w:val="single" w:sz="6" w:space="0" w:color="auto"/>
            </w:tcBorders>
          </w:tcPr>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b/>
                <w:sz w:val="16"/>
                <w:szCs w:val="16"/>
                <w:lang w:bidi="cs-CZ"/>
              </w:rPr>
              <w:t xml:space="preserve">Povinnost dodatečného ručení pojistitele </w:t>
            </w:r>
            <w:r w:rsidRPr="00B04777">
              <w:rPr>
                <w:rFonts w:asciiTheme="minorHAnsi" w:cstheme="minorHAnsi"/>
                <w:sz w:val="16"/>
                <w:szCs w:val="16"/>
                <w:lang w:bidi="cs-CZ"/>
              </w:rPr>
              <w:t>ve všeobecném pojištění zákonné odpovědnosti a v pojištění zákonné odpovědnosti z</w:t>
            </w:r>
            <w:r w:rsidR="00E766DB" w:rsidRPr="00B04777">
              <w:rPr>
                <w:rFonts w:asciiTheme="minorHAnsi" w:cstheme="minorHAnsi"/>
                <w:sz w:val="16"/>
                <w:szCs w:val="16"/>
                <w:lang w:bidi="cs-CZ"/>
              </w:rPr>
              <w:t> </w:t>
            </w:r>
            <w:r w:rsidRPr="00B04777">
              <w:rPr>
                <w:rFonts w:asciiTheme="minorHAnsi" w:cstheme="minorHAnsi"/>
                <w:sz w:val="16"/>
                <w:szCs w:val="16"/>
                <w:lang w:bidi="cs-CZ"/>
              </w:rPr>
              <w:t>projektování 10 let, v pojištění zákonné odpovědnosti za životní prostředí a pojištění za škody na životním prostředí 5 let.</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b/>
                <w:bCs/>
                <w:sz w:val="16"/>
                <w:szCs w:val="16"/>
                <w:lang w:eastAsia="de-DE"/>
              </w:rPr>
            </w:pPr>
            <w:r w:rsidRPr="00B04777">
              <w:rPr>
                <w:rFonts w:asciiTheme="minorHAnsi" w:cstheme="minorHAnsi"/>
                <w:b/>
                <w:sz w:val="16"/>
                <w:szCs w:val="16"/>
                <w:lang w:bidi="cs-CZ"/>
              </w:rPr>
              <w:t>Částky kryté pojištěním</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Částka krytá pojištěním za jednu škodní událost činí ve všeobecném pojištění zákonné odpovědnosti pro pojistníka a osoby zúčastněné na projektování a provádění stavby (soupojistníky), jakož i za škody na životním prostředí:</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b/>
                <w:bCs/>
                <w:sz w:val="16"/>
                <w:szCs w:val="16"/>
                <w:lang w:eastAsia="de-DE"/>
              </w:rPr>
            </w:pPr>
            <w:r w:rsidRPr="00B04777">
              <w:rPr>
                <w:rFonts w:asciiTheme="minorHAnsi" w:cstheme="minorHAnsi"/>
                <w:b/>
                <w:sz w:val="16"/>
                <w:szCs w:val="16"/>
                <w:lang w:bidi="cs-CZ"/>
              </w:rPr>
              <w:t>paušálně 20 000 000 EUR na škody na zdraví, věcné a majetkové škody.</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 xml:space="preserve">V rámci této částky kryté pojištěním je k dispozici </w:t>
            </w:r>
            <w:r w:rsidRPr="00B04777">
              <w:rPr>
                <w:rFonts w:asciiTheme="minorHAnsi" w:cstheme="minorHAnsi"/>
                <w:b/>
                <w:sz w:val="16"/>
                <w:szCs w:val="16"/>
                <w:lang w:bidi="cs-CZ"/>
              </w:rPr>
              <w:t xml:space="preserve">2 000 000 EUR </w:t>
            </w:r>
            <w:r w:rsidRPr="00B04777">
              <w:rPr>
                <w:rFonts w:asciiTheme="minorHAnsi" w:cstheme="minorHAnsi"/>
                <w:sz w:val="16"/>
                <w:szCs w:val="16"/>
                <w:lang w:bidi="cs-CZ"/>
              </w:rPr>
              <w:t>na výdaje na prevenci ztrát před vznikem pojistného případu u škod z</w:t>
            </w:r>
            <w:r w:rsidR="00E766DB" w:rsidRPr="00B04777">
              <w:rPr>
                <w:rFonts w:asciiTheme="minorHAnsi" w:cstheme="minorHAnsi"/>
                <w:sz w:val="16"/>
                <w:szCs w:val="16"/>
                <w:lang w:bidi="cs-CZ"/>
              </w:rPr>
              <w:t> </w:t>
            </w:r>
            <w:r w:rsidRPr="00B04777">
              <w:rPr>
                <w:rFonts w:asciiTheme="minorHAnsi" w:cstheme="minorHAnsi"/>
                <w:sz w:val="16"/>
                <w:szCs w:val="16"/>
                <w:lang w:bidi="cs-CZ"/>
              </w:rPr>
              <w:t>pojištění zákonné odpovědnosti za životní prostředí.</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Sublimit pro pojištění škod na životním prostředí:</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b/>
                <w:bCs/>
                <w:sz w:val="16"/>
                <w:szCs w:val="16"/>
                <w:lang w:eastAsia="de-DE"/>
              </w:rPr>
            </w:pPr>
            <w:r w:rsidRPr="00B04777">
              <w:rPr>
                <w:rFonts w:asciiTheme="minorHAnsi" w:cstheme="minorHAnsi"/>
                <w:b/>
                <w:sz w:val="16"/>
                <w:szCs w:val="16"/>
                <w:lang w:bidi="cs-CZ"/>
              </w:rPr>
              <w:t>10 000 000 EUR na věcné a majetkové škody.</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 xml:space="preserve">V rámci této částky kryté pojištěním je k dispozici </w:t>
            </w:r>
            <w:r w:rsidRPr="00B04777">
              <w:rPr>
                <w:rFonts w:asciiTheme="minorHAnsi" w:cstheme="minorHAnsi"/>
                <w:b/>
                <w:sz w:val="16"/>
                <w:szCs w:val="16"/>
                <w:lang w:bidi="cs-CZ"/>
              </w:rPr>
              <w:t>2 000 000 EUR</w:t>
            </w:r>
            <w:r w:rsidRPr="00B04777">
              <w:rPr>
                <w:rFonts w:asciiTheme="minorHAnsi" w:cstheme="minorHAnsi"/>
                <w:sz w:val="16"/>
                <w:szCs w:val="16"/>
                <w:lang w:bidi="cs-CZ"/>
              </w:rPr>
              <w:t xml:space="preserve"> na kompenzační sanaci a výdaje před vznikem pojistného případu.</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V pojištění zákonné odpovědnosti z projektování činí částka krytá pojištěním na jednu škodní událost, za důsledky porušení předpisů při poskytování projekčních a inženýrských služeb</w:t>
            </w:r>
          </w:p>
          <w:p w:rsidR="00DF185D" w:rsidRPr="00B04777" w:rsidRDefault="00DF185D" w:rsidP="00DF185D">
            <w:pPr>
              <w:autoSpaceDE w:val="0"/>
              <w:autoSpaceDN w:val="0"/>
              <w:adjustRightInd w:val="0"/>
              <w:spacing w:after="0" w:line="240" w:lineRule="auto"/>
              <w:jc w:val="both"/>
              <w:rPr>
                <w:rFonts w:ascii="Arial" w:hAnsi="Arial" w:cs="Arial"/>
                <w:sz w:val="16"/>
                <w:szCs w:val="16"/>
                <w:lang w:eastAsia="de-DE"/>
              </w:rPr>
            </w:pP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b/>
                <w:bCs/>
                <w:sz w:val="16"/>
                <w:szCs w:val="16"/>
                <w:lang w:eastAsia="de-DE"/>
              </w:rPr>
            </w:pPr>
            <w:r w:rsidRPr="00B04777">
              <w:rPr>
                <w:rFonts w:asciiTheme="minorHAnsi" w:cstheme="minorHAnsi"/>
                <w:b/>
                <w:sz w:val="16"/>
                <w:szCs w:val="16"/>
                <w:lang w:bidi="cs-CZ"/>
              </w:rPr>
              <w:t>paušálně 10 000 000 EUR na věcné a majetkové škody</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V rámci této částky kryté pojištěním činí nejvyšší odškodnění za rozšířené krytí projektování (projektování a výstavba z jedné ruky) pro investory a podniky provádějící stavby</w:t>
            </w:r>
          </w:p>
          <w:p w:rsidR="00DF185D" w:rsidRPr="00B04777" w:rsidRDefault="00DF185D" w:rsidP="00DF185D">
            <w:pPr>
              <w:autoSpaceDE w:val="0"/>
              <w:autoSpaceDN w:val="0"/>
              <w:adjustRightInd w:val="0"/>
              <w:spacing w:after="0" w:line="240" w:lineRule="auto"/>
              <w:jc w:val="both"/>
              <w:rPr>
                <w:rFonts w:ascii="Arial" w:hAnsi="Arial" w:cs="Arial"/>
                <w:sz w:val="16"/>
                <w:szCs w:val="16"/>
                <w:lang w:eastAsia="de-DE"/>
              </w:rPr>
            </w:pPr>
          </w:p>
          <w:p w:rsidR="00A14B44" w:rsidRPr="00B04777" w:rsidRDefault="00DF185D" w:rsidP="00DF185D">
            <w:pPr>
              <w:numPr>
                <w:ilvl w:val="0"/>
                <w:numId w:val="4"/>
              </w:numPr>
              <w:autoSpaceDE w:val="0"/>
              <w:autoSpaceDN w:val="0"/>
              <w:adjustRightInd w:val="0"/>
              <w:spacing w:after="0" w:line="240" w:lineRule="auto"/>
              <w:ind w:left="264" w:hanging="264"/>
              <w:jc w:val="both"/>
              <w:rPr>
                <w:rFonts w:asciiTheme="minorHAnsi" w:cstheme="minorHAnsi"/>
                <w:b/>
                <w:bCs/>
                <w:sz w:val="16"/>
                <w:szCs w:val="16"/>
                <w:lang w:eastAsia="de-DE"/>
              </w:rPr>
            </w:pPr>
            <w:r w:rsidRPr="00B04777">
              <w:rPr>
                <w:rFonts w:asciiTheme="minorHAnsi" w:cstheme="minorHAnsi"/>
                <w:b/>
                <w:sz w:val="16"/>
                <w:szCs w:val="16"/>
                <w:lang w:bidi="cs-CZ"/>
              </w:rPr>
              <w:t>5 000 000 EUR</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cstheme="minorHAnsi"/>
                <w:sz w:val="16"/>
                <w:szCs w:val="16"/>
                <w:lang w:eastAsia="de-DE"/>
              </w:rPr>
            </w:pPr>
            <w:r w:rsidRPr="00B04777">
              <w:rPr>
                <w:rFonts w:asciiTheme="minorHAnsi" w:cstheme="minorHAnsi"/>
                <w:sz w:val="16"/>
                <w:szCs w:val="16"/>
                <w:lang w:bidi="cs-CZ"/>
              </w:rPr>
              <w:t xml:space="preserve">Pojistná ochrana existuje v rámci rozšířené krytí projektování výhradně pro škody na objektu samotném. </w:t>
            </w:r>
            <w:r w:rsidRPr="00B04777">
              <w:rPr>
                <w:rFonts w:asciiTheme="minorHAnsi" w:cstheme="minorHAnsi"/>
                <w:b/>
                <w:sz w:val="16"/>
                <w:szCs w:val="16"/>
                <w:lang w:bidi="cs-CZ"/>
              </w:rPr>
              <w:t xml:space="preserve">Spoluúčast </w:t>
            </w:r>
            <w:r w:rsidRPr="00B04777">
              <w:rPr>
                <w:rFonts w:asciiTheme="minorHAnsi" w:cstheme="minorHAnsi"/>
                <w:sz w:val="16"/>
                <w:szCs w:val="16"/>
                <w:lang w:bidi="cs-CZ"/>
              </w:rPr>
              <w:t xml:space="preserve">za každý pojistný případ činí </w:t>
            </w:r>
            <w:r w:rsidRPr="00B04777">
              <w:rPr>
                <w:rFonts w:asciiTheme="minorHAnsi" w:cstheme="minorHAnsi"/>
                <w:b/>
                <w:sz w:val="16"/>
                <w:szCs w:val="16"/>
                <w:lang w:bidi="cs-CZ"/>
              </w:rPr>
              <w:t>10 000 EUR</w:t>
            </w:r>
            <w:r w:rsidRPr="00B04777">
              <w:rPr>
                <w:rFonts w:asciiTheme="minorHAnsi" w:cstheme="minorHAnsi"/>
                <w:sz w:val="16"/>
                <w:szCs w:val="16"/>
                <w:lang w:bidi="cs-CZ"/>
              </w:rPr>
              <w:t>, avšak 100 000 EUR při rozšířeném krytí projektování pro investory a podniky provádějící stavby. Spoluúčast nese původce škody. Odpadá v případě škod na zdraví osob. Celkové plnění pojistitele pro všechny pojistné případy během doby trvání smlouvy činí trojnásobek výše uvedených krycích částek.</w:t>
            </w:r>
          </w:p>
          <w:p w:rsidR="00DF185D"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p>
        </w:tc>
      </w:tr>
    </w:tbl>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numPr>
          <w:ilvl w:val="0"/>
          <w:numId w:val="2"/>
        </w:numPr>
        <w:autoSpaceDE w:val="0"/>
        <w:autoSpaceDN w:val="0"/>
        <w:adjustRightInd w:val="0"/>
        <w:spacing w:after="0" w:line="240" w:lineRule="auto"/>
        <w:ind w:left="284" w:hanging="284"/>
        <w:jc w:val="both"/>
        <w:rPr>
          <w:rFonts w:asciiTheme="minorHAnsi" w:cstheme="minorHAnsi"/>
          <w:b/>
          <w:bCs/>
          <w:sz w:val="16"/>
          <w:szCs w:val="16"/>
          <w:lang w:eastAsia="de-DE"/>
        </w:rPr>
      </w:pPr>
      <w:r w:rsidRPr="00B04777">
        <w:rPr>
          <w:rFonts w:asciiTheme="minorHAnsi" w:cstheme="minorHAnsi"/>
          <w:b/>
          <w:sz w:val="16"/>
          <w:szCs w:val="16"/>
          <w:lang w:bidi="cs-CZ"/>
        </w:rPr>
        <w:t>Likvidace škody</w:t>
      </w:r>
    </w:p>
    <w:p w:rsidR="00DF185D" w:rsidRPr="00B04777" w:rsidRDefault="00DF185D" w:rsidP="00DF185D">
      <w:pPr>
        <w:autoSpaceDE w:val="0"/>
        <w:autoSpaceDN w:val="0"/>
        <w:adjustRightInd w:val="0"/>
        <w:spacing w:after="0" w:line="240" w:lineRule="auto"/>
        <w:jc w:val="both"/>
        <w:rPr>
          <w:rFonts w:cstheme="minorHAnsi"/>
          <w:sz w:val="16"/>
          <w:szCs w:val="16"/>
          <w:lang w:eastAsia="de-DE"/>
        </w:rPr>
      </w:pPr>
    </w:p>
    <w:p w:rsidR="00A14B44" w:rsidRPr="00B04777" w:rsidRDefault="00DF185D" w:rsidP="00DF185D">
      <w:pPr>
        <w:autoSpaceDE w:val="0"/>
        <w:autoSpaceDN w:val="0"/>
        <w:adjustRightInd w:val="0"/>
        <w:spacing w:after="0" w:line="240" w:lineRule="auto"/>
        <w:jc w:val="both"/>
        <w:rPr>
          <w:rFonts w:asciiTheme="minorHAnsi" w:cstheme="minorHAnsi"/>
          <w:sz w:val="16"/>
          <w:szCs w:val="16"/>
          <w:lang w:eastAsia="de-DE"/>
        </w:rPr>
      </w:pPr>
      <w:r w:rsidRPr="00B04777">
        <w:rPr>
          <w:rFonts w:asciiTheme="minorHAnsi" w:cstheme="minorHAnsi"/>
          <w:sz w:val="16"/>
          <w:szCs w:val="16"/>
          <w:lang w:bidi="cs-CZ"/>
        </w:rPr>
        <w:t xml:space="preserve">Všechny škody na zdraví, jakož i všechny škody pravděpodobně přesahující spoluúčast 10 000 EUR je nutné </w:t>
      </w:r>
      <w:r w:rsidRPr="00B04777">
        <w:rPr>
          <w:rFonts w:asciiTheme="minorHAnsi" w:cstheme="minorHAnsi"/>
          <w:b/>
          <w:sz w:val="16"/>
          <w:szCs w:val="16"/>
          <w:lang w:bidi="cs-CZ"/>
        </w:rPr>
        <w:t>neprodleně</w:t>
      </w:r>
      <w:r w:rsidRPr="00B04777">
        <w:rPr>
          <w:rFonts w:asciiTheme="minorHAnsi" w:cstheme="minorHAnsi"/>
          <w:sz w:val="16"/>
          <w:szCs w:val="16"/>
          <w:lang w:bidi="cs-CZ"/>
        </w:rPr>
        <w:t xml:space="preserve"> hlásit prostřednictvím příslušného vedení / dozoru projektu faxem na DVA. Formuláře pro hlášení škody lze získat u vedení projektu, popř. vedení / dozoru stavby. Případné další oznamovací povinnosti ze smlouvy se zadavatelem zůstávají tímto nedotčeny. Pokud jde o pojištění zákonné odpovědnosti, nesmí být poškozenému poskytnuta žádná platba bez předchozího projednání s pojistitelem. Prohlášení o povinnosti nahradit škodu smí učinit pouze pojistitel. Poškození by se nemělo pokud možno odstraňovat až do doby prohlídky pojistitelem. Pokud to není možné, je nutné pořídit pro účely dokumentace fotografie. Okolnosti vedoucí ke škodě je nutné popsat přesně a pravdivě.</w:t>
      </w:r>
    </w:p>
    <w:sectPr w:rsidR="00A14B44" w:rsidRPr="00B04777" w:rsidSect="00DF185D">
      <w:footerReference w:type="default" r:id="rId9"/>
      <w:pgSz w:w="11909" w:h="16834"/>
      <w:pgMar w:top="1440" w:right="1440" w:bottom="1440" w:left="1440"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0408" w:rsidRDefault="003A0408">
      <w:pPr>
        <w:widowControl w:val="0"/>
        <w:autoSpaceDE w:val="0"/>
        <w:autoSpaceDN w:val="0"/>
        <w:adjustRightInd w:val="0"/>
        <w:spacing w:after="0" w:line="240" w:lineRule="auto"/>
        <w:rPr>
          <w:rFonts w:hAnsi="Franklin Gothic Medium Cond"/>
          <w:sz w:val="24"/>
          <w:szCs w:val="24"/>
        </w:rPr>
      </w:pPr>
      <w:r>
        <w:rPr>
          <w:rFonts w:hAnsi="Franklin Gothic Medium Cond"/>
          <w:sz w:val="24"/>
          <w:szCs w:val="24"/>
        </w:rPr>
        <w:separator/>
      </w:r>
    </w:p>
  </w:endnote>
  <w:endnote w:type="continuationSeparator" w:id="0">
    <w:p w:rsidR="003A0408" w:rsidRDefault="003A04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Cond">
    <w:altName w:val="Arial Narrow"/>
    <w:charset w:val="EE"/>
    <w:family w:val="swiss"/>
    <w:pitch w:val="variable"/>
    <w:sig w:usb0="00000001"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85D" w:rsidRPr="00DF185D" w:rsidRDefault="00DF185D" w:rsidP="00DF185D">
    <w:pPr>
      <w:autoSpaceDE w:val="0"/>
      <w:autoSpaceDN w:val="0"/>
      <w:adjustRightInd w:val="0"/>
      <w:spacing w:after="0" w:line="240" w:lineRule="auto"/>
      <w:jc w:val="center"/>
      <w:rPr>
        <w:rFonts w:cs="Calibri"/>
        <w:sz w:val="16"/>
        <w:szCs w:val="16"/>
        <w:lang w:val="de-DE" w:eastAsia="de-DE"/>
      </w:rPr>
    </w:pPr>
    <w:r w:rsidRPr="00DF185D">
      <w:rPr>
        <w:rFonts w:asciiTheme="minorHAnsi" w:cs="Calibri"/>
        <w:sz w:val="16"/>
        <w:szCs w:val="16"/>
        <w:lang w:bidi="cs-CZ"/>
      </w:rPr>
      <w:t>DVA BAUPROJEKTE VERSICHERUNGEN, 61348 BAD HOMBURG, Marienbader Platz 1, Telefon +49 6172 4868-0, Fax +49 6172 4868-379 DVA BAUPROJEKTE VERSICHERUNGEN, 10117 BERLIN, Friedrichstraße 61, Telefon +49 30 217364-0, Fax +49 30 217364 -11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0408" w:rsidRDefault="003A0408">
      <w:pPr>
        <w:widowControl w:val="0"/>
        <w:autoSpaceDE w:val="0"/>
        <w:autoSpaceDN w:val="0"/>
        <w:adjustRightInd w:val="0"/>
        <w:spacing w:after="0" w:line="240" w:lineRule="auto"/>
        <w:rPr>
          <w:rFonts w:hAnsi="Franklin Gothic Medium Cond"/>
          <w:sz w:val="24"/>
          <w:szCs w:val="24"/>
        </w:rPr>
      </w:pPr>
      <w:r>
        <w:rPr>
          <w:rFonts w:hAnsi="Franklin Gothic Medium Cond"/>
          <w:sz w:val="24"/>
          <w:szCs w:val="24"/>
        </w:rPr>
        <w:separator/>
      </w:r>
    </w:p>
  </w:footnote>
  <w:footnote w:type="continuationSeparator" w:id="0">
    <w:p w:rsidR="003A0408" w:rsidRDefault="003A04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185D" w:rsidRDefault="00DF185D" w:rsidP="00DF185D">
    <w:pPr>
      <w:pStyle w:val="Zhlav"/>
      <w:jc w:val="right"/>
    </w:pPr>
    <w:r w:rsidRPr="00DF185D">
      <w:rPr>
        <w:rFonts w:asciiTheme="minorHAnsi" w:cs="Calibri"/>
        <w:noProof/>
        <w:sz w:val="20"/>
        <w:szCs w:val="20"/>
      </w:rPr>
      <w:drawing>
        <wp:inline distT="0" distB="0" distL="0" distR="0">
          <wp:extent cx="1828800" cy="723265"/>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72326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A36C0B"/>
    <w:multiLevelType w:val="hybridMultilevel"/>
    <w:tmpl w:val="6568B4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30492BC1"/>
    <w:multiLevelType w:val="hybridMultilevel"/>
    <w:tmpl w:val="A63E4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42FB517B"/>
    <w:multiLevelType w:val="hybridMultilevel"/>
    <w:tmpl w:val="6902F26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76AF6A6C"/>
    <w:multiLevelType w:val="hybridMultilevel"/>
    <w:tmpl w:val="727427E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trackRevisions/>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85D"/>
    <w:rsid w:val="000629B5"/>
    <w:rsid w:val="000E2854"/>
    <w:rsid w:val="003A0408"/>
    <w:rsid w:val="00503889"/>
    <w:rsid w:val="00674A34"/>
    <w:rsid w:val="00831216"/>
    <w:rsid w:val="00964815"/>
    <w:rsid w:val="00A14B44"/>
    <w:rsid w:val="00A77708"/>
    <w:rsid w:val="00B04777"/>
    <w:rsid w:val="00B2581E"/>
    <w:rsid w:val="00C45E64"/>
    <w:rsid w:val="00DE3256"/>
    <w:rsid w:val="00DF185D"/>
    <w:rsid w:val="00E766DB"/>
    <w:rsid w:val="00FF092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Franklin Gothic Medium Cond"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F185D"/>
    <w:pPr>
      <w:tabs>
        <w:tab w:val="center" w:pos="4536"/>
        <w:tab w:val="right" w:pos="9072"/>
      </w:tabs>
    </w:pPr>
  </w:style>
  <w:style w:type="character" w:customStyle="1" w:styleId="ZhlavChar">
    <w:name w:val="Záhlaví Char"/>
    <w:basedOn w:val="Standardnpsmoodstavce"/>
    <w:link w:val="Zhlav"/>
    <w:uiPriority w:val="99"/>
    <w:rsid w:val="00DF185D"/>
    <w:rPr>
      <w:rFonts w:asciiTheme="minorHAnsi"/>
    </w:rPr>
  </w:style>
  <w:style w:type="paragraph" w:styleId="Zpat">
    <w:name w:val="footer"/>
    <w:basedOn w:val="Normln"/>
    <w:link w:val="ZpatChar"/>
    <w:uiPriority w:val="99"/>
    <w:unhideWhenUsed/>
    <w:rsid w:val="00DF185D"/>
    <w:pPr>
      <w:tabs>
        <w:tab w:val="center" w:pos="4536"/>
        <w:tab w:val="right" w:pos="9072"/>
      </w:tabs>
    </w:pPr>
  </w:style>
  <w:style w:type="character" w:customStyle="1" w:styleId="ZpatChar">
    <w:name w:val="Zápatí Char"/>
    <w:basedOn w:val="Standardnpsmoodstavce"/>
    <w:link w:val="Zpat"/>
    <w:uiPriority w:val="99"/>
    <w:rsid w:val="00DF185D"/>
    <w:rPr>
      <w:rFonts w:asciiTheme="minorHAnsi"/>
    </w:rPr>
  </w:style>
  <w:style w:type="paragraph" w:styleId="Textbubliny">
    <w:name w:val="Balloon Text"/>
    <w:basedOn w:val="Normln"/>
    <w:link w:val="TextbublinyChar"/>
    <w:uiPriority w:val="99"/>
    <w:semiHidden/>
    <w:unhideWhenUsed/>
    <w:rsid w:val="0050388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38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Franklin Gothic Medium Cond"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DF185D"/>
    <w:pPr>
      <w:tabs>
        <w:tab w:val="center" w:pos="4536"/>
        <w:tab w:val="right" w:pos="9072"/>
      </w:tabs>
    </w:pPr>
  </w:style>
  <w:style w:type="character" w:customStyle="1" w:styleId="ZhlavChar">
    <w:name w:val="Záhlaví Char"/>
    <w:basedOn w:val="Standardnpsmoodstavce"/>
    <w:link w:val="Zhlav"/>
    <w:uiPriority w:val="99"/>
    <w:rsid w:val="00DF185D"/>
    <w:rPr>
      <w:rFonts w:asciiTheme="minorHAnsi"/>
    </w:rPr>
  </w:style>
  <w:style w:type="paragraph" w:styleId="Zpat">
    <w:name w:val="footer"/>
    <w:basedOn w:val="Normln"/>
    <w:link w:val="ZpatChar"/>
    <w:uiPriority w:val="99"/>
    <w:unhideWhenUsed/>
    <w:rsid w:val="00DF185D"/>
    <w:pPr>
      <w:tabs>
        <w:tab w:val="center" w:pos="4536"/>
        <w:tab w:val="right" w:pos="9072"/>
      </w:tabs>
    </w:pPr>
  </w:style>
  <w:style w:type="character" w:customStyle="1" w:styleId="ZpatChar">
    <w:name w:val="Zápatí Char"/>
    <w:basedOn w:val="Standardnpsmoodstavce"/>
    <w:link w:val="Zpat"/>
    <w:uiPriority w:val="99"/>
    <w:rsid w:val="00DF185D"/>
    <w:rPr>
      <w:rFonts w:asciiTheme="minorHAnsi"/>
    </w:rPr>
  </w:style>
  <w:style w:type="paragraph" w:styleId="Textbubliny">
    <w:name w:val="Balloon Text"/>
    <w:basedOn w:val="Normln"/>
    <w:link w:val="TextbublinyChar"/>
    <w:uiPriority w:val="99"/>
    <w:semiHidden/>
    <w:unhideWhenUsed/>
    <w:rsid w:val="0050388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038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5560</TotalTime>
  <Pages>2</Pages>
  <Words>1450</Words>
  <Characters>8555</Characters>
  <Application>Microsoft Office Word</Application>
  <DocSecurity>0</DocSecurity>
  <Lines>71</Lines>
  <Paragraphs>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9986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Uzivatel</dc:creator>
  <cp:keywords/>
  <dc:description/>
  <cp:lastModifiedBy>H&amp;P</cp:lastModifiedBy>
  <cp:revision>6</cp:revision>
  <dcterms:created xsi:type="dcterms:W3CDTF">2019-10-23T12:12:00Z</dcterms:created>
  <dcterms:modified xsi:type="dcterms:W3CDTF">2020-01-14T11:18:00Z</dcterms:modified>
</cp:coreProperties>
</file>